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055BE3C1" w:rsidR="007746A6" w:rsidRDefault="005F3C7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God’s Word</w:t>
      </w:r>
      <w:r w:rsidR="000C74E1">
        <w:rPr>
          <w:rFonts w:ascii="Segoe UI" w:hAnsi="Segoe UI"/>
          <w:color w:val="000000"/>
          <w:sz w:val="36"/>
          <w:szCs w:val="36"/>
        </w:rPr>
        <w:t xml:space="preserve"> in Hard Times</w:t>
      </w:r>
    </w:p>
    <w:p w14:paraId="6D920289" w14:textId="48FD7FBF" w:rsidR="00C90B84" w:rsidRDefault="000C74E1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Jeremiah</w:t>
      </w:r>
    </w:p>
    <w:p w14:paraId="66A00711" w14:textId="2445D43E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63B8">
        <w:rPr>
          <w:rFonts w:ascii="Segoe UI" w:hAnsi="Segoe UI"/>
          <w:color w:val="000000"/>
          <w:sz w:val="36"/>
          <w:szCs w:val="36"/>
        </w:rPr>
        <w:t xml:space="preserve">October </w:t>
      </w:r>
      <w:r w:rsidR="000C74E1">
        <w:rPr>
          <w:rFonts w:ascii="Segoe UI" w:hAnsi="Segoe UI"/>
          <w:color w:val="000000"/>
          <w:sz w:val="36"/>
          <w:szCs w:val="36"/>
        </w:rPr>
        <w:t>13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1B6DD0ED" w:rsidR="00C15731" w:rsidRPr="00C15731" w:rsidRDefault="00785805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54BCA900" wp14:editId="7B014265">
            <wp:extent cx="4019550" cy="2266950"/>
            <wp:effectExtent l="0" t="0" r="0" b="0"/>
            <wp:docPr id="17603636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5AD0236C" w:rsidR="00460C52" w:rsidRDefault="005F3C7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God’s Word</w:t>
      </w:r>
      <w:r w:rsidR="000C74E1">
        <w:rPr>
          <w:rFonts w:ascii="Segoe UI" w:hAnsi="Segoe UI"/>
          <w:color w:val="000000"/>
          <w:sz w:val="36"/>
          <w:szCs w:val="36"/>
        </w:rPr>
        <w:t xml:space="preserve"> in Hard Times</w:t>
      </w:r>
    </w:p>
    <w:p w14:paraId="373B8EE2" w14:textId="39453079" w:rsidR="00C763B8" w:rsidRDefault="000C74E1" w:rsidP="00C763B8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Jeremiah</w:t>
      </w:r>
    </w:p>
    <w:p w14:paraId="47A851E2" w14:textId="004782DC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63B8">
        <w:rPr>
          <w:rFonts w:ascii="Segoe UI" w:hAnsi="Segoe UI"/>
          <w:color w:val="000000"/>
          <w:sz w:val="36"/>
          <w:szCs w:val="36"/>
        </w:rPr>
        <w:t xml:space="preserve">October </w:t>
      </w:r>
      <w:r w:rsidR="000C74E1">
        <w:rPr>
          <w:rFonts w:ascii="Segoe UI" w:hAnsi="Segoe UI"/>
          <w:color w:val="000000"/>
          <w:sz w:val="36"/>
          <w:szCs w:val="36"/>
        </w:rPr>
        <w:t>13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0FED3211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70AC80A8" w:rsidR="003F0969" w:rsidRDefault="00785805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sz w:val="18"/>
          <w:szCs w:val="18"/>
        </w:rPr>
        <w:drawing>
          <wp:inline distT="0" distB="0" distL="0" distR="0" wp14:anchorId="58711943" wp14:editId="3FFA28EF">
            <wp:extent cx="4019550" cy="2266950"/>
            <wp:effectExtent l="0" t="0" r="0" b="0"/>
            <wp:docPr id="19456266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256B580E" w14:textId="2166B864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785805">
        <w:rPr>
          <w:rStyle w:val="SYSHYPERTEXT"/>
          <w:rFonts w:ascii="Segoe UI" w:hAnsi="Segoe UI"/>
          <w:sz w:val="18"/>
          <w:szCs w:val="18"/>
          <w:u w:val="none"/>
        </w:rPr>
        <w:t>Matthew Johnson, Stephen Johnson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00BCB687" w14:textId="7FBF1D8E" w:rsidR="007E29C9" w:rsidRPr="00E236A7" w:rsidRDefault="00785805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Lydia Sears – InterVarsity Christian Fellowship CMU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 w:rsidR="007E29C9">
        <w:rPr>
          <w:rStyle w:val="SYSHYPERTEXT"/>
          <w:rFonts w:ascii="Segoe UI" w:hAnsi="Segoe UI"/>
          <w:sz w:val="18"/>
          <w:szCs w:val="18"/>
          <w:u w:val="none"/>
        </w:rPr>
        <w:t>Pray fo</w:t>
      </w:r>
      <w:r w:rsidR="00C33227">
        <w:rPr>
          <w:rStyle w:val="SYSHYPERTEXT"/>
          <w:rFonts w:ascii="Segoe UI" w:hAnsi="Segoe UI"/>
          <w:sz w:val="18"/>
          <w:szCs w:val="18"/>
          <w:u w:val="none"/>
        </w:rPr>
        <w:t xml:space="preserve">r their new </w:t>
      </w:r>
      <w:r>
        <w:rPr>
          <w:rStyle w:val="SYSHYPERTEXT"/>
          <w:rFonts w:ascii="Segoe UI" w:hAnsi="Segoe UI"/>
          <w:sz w:val="18"/>
          <w:szCs w:val="18"/>
          <w:u w:val="none"/>
        </w:rPr>
        <w:t>baby, Walt, for peace and patience in a time of rest.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4B19549" w14:textId="6A3746F4" w:rsidR="0047724A" w:rsidRPr="00EB0419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We are having events for people in middle school and up, come join us!  </w:t>
      </w:r>
      <w:r w:rsidRPr="00C33227">
        <w:rPr>
          <w:rFonts w:ascii="Segoe UI" w:hAnsi="Segoe UI"/>
          <w:sz w:val="18"/>
          <w:szCs w:val="18"/>
        </w:rPr>
        <w:t>Nerf War – October 13</w:t>
      </w:r>
      <w:r w:rsidRPr="00C33227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  <w:r w:rsidR="00785805" w:rsidRPr="00785805">
        <w:rPr>
          <w:rFonts w:ascii="Segoe UI" w:hAnsi="Segoe UI"/>
          <w:sz w:val="18"/>
          <w:szCs w:val="18"/>
        </w:rPr>
        <w:t>Apple Fest – October 20th</w:t>
      </w:r>
    </w:p>
    <w:p w14:paraId="290FD4B3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4BEA513" w14:textId="30CFA577" w:rsidR="00785805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301CBF30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2B9D12FA" w14:textId="77777777" w:rsidR="00785805" w:rsidRDefault="00785805" w:rsidP="00785805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  <w:r>
        <w:rPr>
          <w:rFonts w:ascii="Segoe UI" w:hAnsi="Segoe UI"/>
          <w:b/>
          <w:bCs/>
          <w:sz w:val="18"/>
          <w:szCs w:val="18"/>
        </w:rPr>
        <w:t xml:space="preserve">Trunk Or Treat and Worship </w:t>
      </w:r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>October 26th, 1 to 3pm</w:t>
      </w:r>
      <w:r>
        <w:rPr>
          <w:rFonts w:ascii="Segoe UI" w:hAnsi="Segoe UI"/>
          <w:sz w:val="18"/>
          <w:szCs w:val="18"/>
        </w:rPr>
        <w:t xml:space="preserve">, </w:t>
      </w:r>
      <w:r w:rsidRPr="00785805">
        <w:rPr>
          <w:rFonts w:ascii="Segoe UI" w:hAnsi="Segoe UI"/>
          <w:sz w:val="18"/>
          <w:szCs w:val="18"/>
        </w:rPr>
        <w:t>with live music</w:t>
      </w:r>
      <w:r>
        <w:rPr>
          <w:rFonts w:ascii="Segoe UI" w:hAnsi="Segoe UI"/>
          <w:sz w:val="18"/>
          <w:szCs w:val="18"/>
        </w:rPr>
        <w:t>!</w:t>
      </w:r>
      <w:r w:rsidRPr="00785805">
        <w:rPr>
          <w:rFonts w:ascii="Segoe UI" w:hAnsi="Segoe UI"/>
          <w:sz w:val="18"/>
          <w:szCs w:val="18"/>
        </w:rPr>
        <w:t xml:space="preserve"> Decorate your car and come to give out candy to kids in the neighborhood. </w:t>
      </w:r>
      <w:r>
        <w:rPr>
          <w:rFonts w:ascii="Segoe UI" w:hAnsi="Segoe UI"/>
          <w:sz w:val="18"/>
          <w:szCs w:val="18"/>
        </w:rPr>
        <w:t xml:space="preserve">Or just join </w:t>
      </w:r>
      <w:r w:rsidRPr="00785805">
        <w:rPr>
          <w:rFonts w:ascii="Segoe UI" w:hAnsi="Segoe UI"/>
          <w:sz w:val="18"/>
          <w:szCs w:val="18"/>
        </w:rPr>
        <w:t>us for worship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 xml:space="preserve">in front of the church. If you </w:t>
      </w:r>
      <w:proofErr w:type="gramStart"/>
      <w:r w:rsidRPr="00785805">
        <w:rPr>
          <w:rFonts w:ascii="Segoe UI" w:hAnsi="Segoe UI"/>
          <w:sz w:val="18"/>
          <w:szCs w:val="18"/>
        </w:rPr>
        <w:t>are able to</w:t>
      </w:r>
      <w:proofErr w:type="gramEnd"/>
      <w:r w:rsidRPr="00785805">
        <w:rPr>
          <w:rFonts w:ascii="Segoe UI" w:hAnsi="Segoe UI"/>
          <w:sz w:val="18"/>
          <w:szCs w:val="18"/>
        </w:rPr>
        <w:t xml:space="preserve"> donate candy for the event, you can drop it by the office.</w:t>
      </w:r>
    </w:p>
    <w:p w14:paraId="3DD4E68A" w14:textId="77777777" w:rsidR="00785805" w:rsidRDefault="00785805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16670BE" w14:textId="77777777" w:rsidR="008A260F" w:rsidRDefault="008A260F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51BFA3C2" w:rsidR="00C07453" w:rsidRPr="00490467" w:rsidRDefault="00785805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56737179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0759FC16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80,581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525EA3D4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07B18AD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80,586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288DDEDA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51E45BB0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C6507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7E7216D2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55B8D3B" w14:textId="77777777" w:rsidR="00BD17D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40EBC3C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3CB481D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D4A00E2" w14:textId="77777777" w:rsidR="00C90B84" w:rsidRDefault="00C90B84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E6CC32C" w14:textId="77777777" w:rsidR="00BD17D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DEAEE39" w14:textId="77777777" w:rsidR="00C5089D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10337A44" w14:textId="77777777" w:rsidR="00BD17DE" w:rsidRPr="004E4CC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119F31A" w14:textId="1E6E68C0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</w:p>
    <w:bookmarkEnd w:id="8"/>
    <w:p w14:paraId="265116F1" w14:textId="77777777" w:rsidR="00923AE6" w:rsidRDefault="00923AE6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</w:p>
    <w:p w14:paraId="0E5436F1" w14:textId="5A0C5621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785805">
        <w:rPr>
          <w:rStyle w:val="SYSHYPERTEXT"/>
          <w:rFonts w:ascii="Segoe UI" w:hAnsi="Segoe UI"/>
          <w:sz w:val="18"/>
          <w:szCs w:val="18"/>
          <w:u w:val="none"/>
        </w:rPr>
        <w:t>Matthew Johnson, Stephen Johnson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2732D37F" w14:textId="77777777" w:rsidR="00785805" w:rsidRPr="00E236A7" w:rsidRDefault="00785805" w:rsidP="00785805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Lydia Sears – InterVarsity Christian Fellowship CMU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their new baby, Walt, for peace and patience in a time of rest.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3B6F65" w14:textId="71F39A25" w:rsidR="00C33227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us!</w:t>
      </w:r>
      <w:r w:rsidR="00785805">
        <w:rPr>
          <w:rFonts w:ascii="Segoe UI" w:hAnsi="Segoe UI"/>
          <w:sz w:val="18"/>
          <w:szCs w:val="18"/>
        </w:rPr>
        <w:t xml:space="preserve"> </w:t>
      </w:r>
      <w:r w:rsidRPr="00C33227">
        <w:rPr>
          <w:rFonts w:ascii="Segoe UI" w:hAnsi="Segoe UI"/>
          <w:sz w:val="18"/>
          <w:szCs w:val="18"/>
        </w:rPr>
        <w:t>Nerf War – October 13</w:t>
      </w:r>
      <w:r w:rsidRPr="00C33227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  <w:r w:rsidR="00785805" w:rsidRPr="00785805">
        <w:rPr>
          <w:rFonts w:ascii="Segoe UI" w:hAnsi="Segoe UI"/>
          <w:sz w:val="18"/>
          <w:szCs w:val="18"/>
        </w:rPr>
        <w:t>Apple Fest – October 20th</w:t>
      </w:r>
    </w:p>
    <w:p w14:paraId="6BC60B7B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F6EB357" w14:textId="33507B1B" w:rsidR="0047724A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2FEF600B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8AE581E" w14:textId="3938415C" w:rsidR="00785805" w:rsidRDefault="00785805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  <w:r>
        <w:rPr>
          <w:rFonts w:ascii="Segoe UI" w:hAnsi="Segoe UI"/>
          <w:b/>
          <w:bCs/>
          <w:sz w:val="18"/>
          <w:szCs w:val="18"/>
        </w:rPr>
        <w:t xml:space="preserve">Trunk Or Treat and Worship </w:t>
      </w:r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>October 26th, 1 to 3pm</w:t>
      </w:r>
      <w:r>
        <w:rPr>
          <w:rFonts w:ascii="Segoe UI" w:hAnsi="Segoe UI"/>
          <w:sz w:val="18"/>
          <w:szCs w:val="18"/>
        </w:rPr>
        <w:t xml:space="preserve">, </w:t>
      </w:r>
      <w:r w:rsidRPr="00785805">
        <w:rPr>
          <w:rFonts w:ascii="Segoe UI" w:hAnsi="Segoe UI"/>
          <w:sz w:val="18"/>
          <w:szCs w:val="18"/>
        </w:rPr>
        <w:t>with live music</w:t>
      </w:r>
      <w:r>
        <w:rPr>
          <w:rFonts w:ascii="Segoe UI" w:hAnsi="Segoe UI"/>
          <w:sz w:val="18"/>
          <w:szCs w:val="18"/>
        </w:rPr>
        <w:t>!</w:t>
      </w:r>
      <w:r w:rsidRPr="00785805">
        <w:rPr>
          <w:rFonts w:ascii="Segoe UI" w:hAnsi="Segoe UI"/>
          <w:sz w:val="18"/>
          <w:szCs w:val="18"/>
        </w:rPr>
        <w:t xml:space="preserve"> Decorate your car and come to give out candy to kids in the neighborhood. </w:t>
      </w:r>
      <w:r>
        <w:rPr>
          <w:rFonts w:ascii="Segoe UI" w:hAnsi="Segoe UI"/>
          <w:sz w:val="18"/>
          <w:szCs w:val="18"/>
        </w:rPr>
        <w:t xml:space="preserve">Or just join </w:t>
      </w:r>
      <w:r w:rsidRPr="00785805">
        <w:rPr>
          <w:rFonts w:ascii="Segoe UI" w:hAnsi="Segoe UI"/>
          <w:sz w:val="18"/>
          <w:szCs w:val="18"/>
        </w:rPr>
        <w:t>us for worship</w:t>
      </w:r>
      <w:r>
        <w:rPr>
          <w:rFonts w:ascii="Segoe UI" w:hAnsi="Segoe UI"/>
          <w:sz w:val="18"/>
          <w:szCs w:val="18"/>
        </w:rPr>
        <w:t xml:space="preserve"> </w:t>
      </w:r>
      <w:r w:rsidRPr="00785805">
        <w:rPr>
          <w:rFonts w:ascii="Segoe UI" w:hAnsi="Segoe UI"/>
          <w:sz w:val="18"/>
          <w:szCs w:val="18"/>
        </w:rPr>
        <w:t xml:space="preserve">in front of the church. If you </w:t>
      </w:r>
      <w:proofErr w:type="gramStart"/>
      <w:r w:rsidRPr="00785805">
        <w:rPr>
          <w:rFonts w:ascii="Segoe UI" w:hAnsi="Segoe UI"/>
          <w:sz w:val="18"/>
          <w:szCs w:val="18"/>
        </w:rPr>
        <w:t>are able to</w:t>
      </w:r>
      <w:proofErr w:type="gramEnd"/>
      <w:r w:rsidRPr="00785805">
        <w:rPr>
          <w:rFonts w:ascii="Segoe UI" w:hAnsi="Segoe UI"/>
          <w:sz w:val="18"/>
          <w:szCs w:val="18"/>
        </w:rPr>
        <w:t xml:space="preserve"> donate candy for the event, you can drop it by the office.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647D45DA" w:rsidR="000A456A" w:rsidRPr="00490467" w:rsidRDefault="00785805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46F6D33E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018B40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13FC495D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6B07F7F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73,100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424B55B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2CE413F4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F23481C" w14:textId="77777777" w:rsidR="004E4CCE" w:rsidRDefault="004E4CC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3A4A473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CFF25A5" w14:textId="77777777" w:rsidR="00BD17DE" w:rsidRDefault="00BD17D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BC6B035" w14:textId="77777777" w:rsidR="008A260F" w:rsidRDefault="008A260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B05AF15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lastRenderedPageBreak/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0551" w14:textId="77777777" w:rsidR="00960A76" w:rsidRDefault="00960A76">
      <w:pPr>
        <w:rPr>
          <w:rFonts w:hint="eastAsia"/>
        </w:rPr>
      </w:pPr>
      <w:r>
        <w:separator/>
      </w:r>
    </w:p>
  </w:endnote>
  <w:endnote w:type="continuationSeparator" w:id="0">
    <w:p w14:paraId="29922A69" w14:textId="77777777" w:rsidR="00960A76" w:rsidRDefault="00960A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DF038" w14:textId="77777777" w:rsidR="00960A76" w:rsidRDefault="00960A76">
      <w:pPr>
        <w:rPr>
          <w:rFonts w:hint="eastAsia"/>
        </w:rPr>
      </w:pPr>
      <w:r>
        <w:separator/>
      </w:r>
    </w:p>
  </w:footnote>
  <w:footnote w:type="continuationSeparator" w:id="0">
    <w:p w14:paraId="2C135D7F" w14:textId="77777777" w:rsidR="00960A76" w:rsidRDefault="00960A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C74E1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12674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5F3C7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805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23AE6"/>
    <w:rsid w:val="0094123B"/>
    <w:rsid w:val="0095455B"/>
    <w:rsid w:val="00960A76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2DE1"/>
    <w:rsid w:val="00B64B09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E2010"/>
    <w:rsid w:val="00C033D1"/>
    <w:rsid w:val="00C07453"/>
    <w:rsid w:val="00C13EC1"/>
    <w:rsid w:val="00C15731"/>
    <w:rsid w:val="00C16818"/>
    <w:rsid w:val="00C179E1"/>
    <w:rsid w:val="00C272E7"/>
    <w:rsid w:val="00C33227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7927"/>
    <w:rsid w:val="00E9192A"/>
    <w:rsid w:val="00EA2B99"/>
    <w:rsid w:val="00EA6037"/>
    <w:rsid w:val="00EB0419"/>
    <w:rsid w:val="00EB6F98"/>
    <w:rsid w:val="00ED2081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4</cp:revision>
  <cp:lastPrinted>2024-10-10T19:39:00Z</cp:lastPrinted>
  <dcterms:created xsi:type="dcterms:W3CDTF">2024-10-10T19:37:00Z</dcterms:created>
  <dcterms:modified xsi:type="dcterms:W3CDTF">2024-10-10T19:47:00Z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